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3AB" w:rsidRPr="00063743" w:rsidRDefault="002D23AB" w:rsidP="002D23AB">
      <w:pPr>
        <w:spacing w:after="120"/>
        <w:rPr>
          <w:rFonts w:ascii="Times New Roman" w:hAnsi="Times New Roman"/>
          <w:sz w:val="22"/>
        </w:rPr>
      </w:pPr>
      <w:r w:rsidRPr="00063743">
        <w:rPr>
          <w:rFonts w:ascii="Times New Roman" w:hAnsi="Times New Roman"/>
          <w:sz w:val="22"/>
        </w:rPr>
        <w:t xml:space="preserve">R. Johnston, “Party Identification: Unmoved Mover or Sum of Preferences?” </w:t>
      </w:r>
      <w:r w:rsidRPr="00063743">
        <w:rPr>
          <w:rFonts w:ascii="Times New Roman" w:hAnsi="Times New Roman"/>
          <w:i/>
          <w:sz w:val="22"/>
        </w:rPr>
        <w:t xml:space="preserve">Annual Review of Political Science </w:t>
      </w:r>
      <w:r w:rsidRPr="00063743">
        <w:rPr>
          <w:rFonts w:ascii="Times New Roman" w:hAnsi="Times New Roman"/>
          <w:sz w:val="22"/>
        </w:rPr>
        <w:t>9 (2006)</w:t>
      </w:r>
    </w:p>
    <w:p w:rsidR="001F6030" w:rsidRPr="00063743" w:rsidRDefault="002D23AB" w:rsidP="002D23AB">
      <w:pPr>
        <w:spacing w:after="120"/>
        <w:rPr>
          <w:rFonts w:ascii="Times New Roman" w:hAnsi="Times New Roman"/>
          <w:b/>
          <w:sz w:val="22"/>
        </w:rPr>
      </w:pPr>
      <w:r w:rsidRPr="00063743">
        <w:rPr>
          <w:rFonts w:ascii="Times New Roman" w:hAnsi="Times New Roman"/>
          <w:b/>
          <w:sz w:val="22"/>
        </w:rPr>
        <w:t>Overview</w:t>
      </w:r>
    </w:p>
    <w:p w:rsidR="002D23AB" w:rsidRPr="00063743" w:rsidRDefault="001F6030" w:rsidP="002D23AB">
      <w:pPr>
        <w:spacing w:after="120"/>
        <w:rPr>
          <w:rFonts w:ascii="Times New Roman" w:hAnsi="Times New Roman"/>
          <w:sz w:val="22"/>
        </w:rPr>
      </w:pPr>
      <w:r w:rsidRPr="00063743">
        <w:rPr>
          <w:rFonts w:ascii="Times New Roman" w:hAnsi="Times New Roman"/>
          <w:sz w:val="22"/>
        </w:rPr>
        <w:t>Reviews Party ID – the concept, some of the data, and the arguments of its conceptualization.</w:t>
      </w:r>
    </w:p>
    <w:p w:rsidR="002D23AB" w:rsidRPr="00063743" w:rsidRDefault="002D23AB" w:rsidP="002D23AB">
      <w:pPr>
        <w:spacing w:after="120"/>
        <w:rPr>
          <w:rFonts w:ascii="Times New Roman" w:hAnsi="Times New Roman"/>
          <w:b/>
          <w:sz w:val="22"/>
        </w:rPr>
      </w:pPr>
      <w:r w:rsidRPr="00063743">
        <w:rPr>
          <w:rFonts w:ascii="Times New Roman" w:hAnsi="Times New Roman"/>
          <w:b/>
          <w:sz w:val="22"/>
        </w:rPr>
        <w:t>Background</w:t>
      </w:r>
    </w:p>
    <w:p w:rsidR="002D23AB" w:rsidRPr="00063743" w:rsidRDefault="002D23AB" w:rsidP="002D23AB">
      <w:pPr>
        <w:pStyle w:val="ListParagraph"/>
        <w:numPr>
          <w:ilvl w:val="0"/>
          <w:numId w:val="1"/>
        </w:numPr>
        <w:spacing w:after="120"/>
        <w:rPr>
          <w:rFonts w:ascii="Times New Roman" w:hAnsi="Times New Roman"/>
          <w:sz w:val="22"/>
        </w:rPr>
      </w:pPr>
      <w:r w:rsidRPr="00063743">
        <w:rPr>
          <w:rFonts w:ascii="Times New Roman" w:hAnsi="Times New Roman"/>
          <w:sz w:val="22"/>
        </w:rPr>
        <w:t>Canonical view of party ID congealed in the 1960s – but had weak empirical basis for core claims – why do we care about the ensuing debate?</w:t>
      </w:r>
    </w:p>
    <w:p w:rsidR="002D23AB" w:rsidRPr="00063743" w:rsidRDefault="002D23AB" w:rsidP="002D23AB">
      <w:pPr>
        <w:pStyle w:val="ListParagraph"/>
        <w:numPr>
          <w:ilvl w:val="0"/>
          <w:numId w:val="1"/>
        </w:numPr>
        <w:spacing w:after="120"/>
        <w:rPr>
          <w:rFonts w:ascii="Times New Roman" w:hAnsi="Times New Roman"/>
          <w:sz w:val="22"/>
        </w:rPr>
      </w:pPr>
      <w:r w:rsidRPr="00063743">
        <w:rPr>
          <w:rFonts w:ascii="Times New Roman" w:hAnsi="Times New Roman"/>
          <w:sz w:val="22"/>
        </w:rPr>
        <w:t>Party ID can serve as a social indicator:</w:t>
      </w:r>
    </w:p>
    <w:p w:rsidR="002D23AB" w:rsidRPr="00063743" w:rsidRDefault="002D23AB" w:rsidP="002D23AB">
      <w:pPr>
        <w:pStyle w:val="ListParagraph"/>
        <w:numPr>
          <w:ilvl w:val="1"/>
          <w:numId w:val="1"/>
        </w:numPr>
        <w:spacing w:after="120"/>
        <w:rPr>
          <w:rFonts w:ascii="Times New Roman" w:hAnsi="Times New Roman"/>
          <w:sz w:val="22"/>
        </w:rPr>
      </w:pPr>
      <w:r w:rsidRPr="00063743">
        <w:rPr>
          <w:rFonts w:ascii="Times New Roman" w:hAnsi="Times New Roman"/>
          <w:sz w:val="22"/>
        </w:rPr>
        <w:t>As an “unmoved mover,” party ID should be intrinsically sticky – if it is really like this, movement in its values should speak to something historically important, diagnostic of a new order of things</w:t>
      </w:r>
    </w:p>
    <w:p w:rsidR="00593712" w:rsidRPr="00063743" w:rsidRDefault="002D23AB" w:rsidP="002D23AB">
      <w:pPr>
        <w:pStyle w:val="ListParagraph"/>
        <w:numPr>
          <w:ilvl w:val="1"/>
          <w:numId w:val="1"/>
        </w:numPr>
        <w:spacing w:after="120"/>
        <w:rPr>
          <w:rFonts w:ascii="Times New Roman" w:hAnsi="Times New Roman"/>
          <w:sz w:val="22"/>
        </w:rPr>
      </w:pPr>
      <w:r w:rsidRPr="00063743">
        <w:rPr>
          <w:rFonts w:ascii="Times New Roman" w:hAnsi="Times New Roman"/>
          <w:sz w:val="22"/>
        </w:rPr>
        <w:t>As the “sum of preferences” – this model captures partisanship as exhibited by many voters, though also draining the original concept of its real significance.</w:t>
      </w:r>
    </w:p>
    <w:p w:rsidR="00593712" w:rsidRPr="00063743" w:rsidRDefault="00593712" w:rsidP="00FF718C">
      <w:pPr>
        <w:pStyle w:val="ListParagraph"/>
        <w:spacing w:after="120"/>
        <w:ind w:left="1440"/>
        <w:rPr>
          <w:rFonts w:ascii="Times New Roman" w:hAnsi="Times New Roman"/>
          <w:sz w:val="22"/>
        </w:rPr>
      </w:pPr>
    </w:p>
    <w:p w:rsidR="00593712" w:rsidRPr="00063743" w:rsidRDefault="00593712" w:rsidP="00593712">
      <w:pPr>
        <w:pStyle w:val="ListParagraph"/>
        <w:numPr>
          <w:ilvl w:val="0"/>
          <w:numId w:val="1"/>
        </w:numPr>
        <w:spacing w:after="120"/>
        <w:rPr>
          <w:rFonts w:ascii="Times New Roman" w:hAnsi="Times New Roman"/>
          <w:sz w:val="22"/>
        </w:rPr>
      </w:pPr>
      <w:r w:rsidRPr="00063743">
        <w:rPr>
          <w:rFonts w:ascii="Times New Roman" w:hAnsi="Times New Roman"/>
          <w:sz w:val="22"/>
        </w:rPr>
        <w:t>The idea of identification with a party as a social group in its own right took hold after 1960 – identification was characterized as simple loyalty, learned early and largely unimpaired by subsequent learning</w:t>
      </w:r>
    </w:p>
    <w:p w:rsidR="00FF718C" w:rsidRPr="00063743" w:rsidRDefault="00593712" w:rsidP="00593712">
      <w:pPr>
        <w:pStyle w:val="ListParagraph"/>
        <w:numPr>
          <w:ilvl w:val="0"/>
          <w:numId w:val="1"/>
        </w:numPr>
        <w:spacing w:after="120"/>
        <w:rPr>
          <w:rFonts w:ascii="Times New Roman" w:hAnsi="Times New Roman"/>
          <w:sz w:val="22"/>
        </w:rPr>
      </w:pPr>
      <w:r w:rsidRPr="00063743">
        <w:rPr>
          <w:rFonts w:ascii="Times New Roman" w:hAnsi="Times New Roman"/>
          <w:sz w:val="22"/>
        </w:rPr>
        <w:t>Allowed academics to speak about “normal vote” – and interpret outcomes according to a departure from this baseline position</w:t>
      </w:r>
    </w:p>
    <w:p w:rsidR="00FF718C" w:rsidRPr="00063743" w:rsidRDefault="00FF718C" w:rsidP="00593712">
      <w:pPr>
        <w:pStyle w:val="ListParagraph"/>
        <w:numPr>
          <w:ilvl w:val="0"/>
          <w:numId w:val="1"/>
        </w:numPr>
        <w:spacing w:after="120"/>
        <w:rPr>
          <w:rFonts w:ascii="Times New Roman" w:hAnsi="Times New Roman"/>
          <w:sz w:val="22"/>
        </w:rPr>
      </w:pPr>
      <w:r w:rsidRPr="00063743">
        <w:rPr>
          <w:rFonts w:ascii="Times New Roman" w:hAnsi="Times New Roman"/>
          <w:sz w:val="22"/>
        </w:rPr>
        <w:t>Ds</w:t>
      </w:r>
    </w:p>
    <w:p w:rsidR="002D23AB" w:rsidRPr="00063743" w:rsidRDefault="00FF718C" w:rsidP="00593712">
      <w:pPr>
        <w:pStyle w:val="ListParagraph"/>
        <w:numPr>
          <w:ilvl w:val="0"/>
          <w:numId w:val="1"/>
        </w:numPr>
        <w:spacing w:after="120"/>
        <w:rPr>
          <w:rFonts w:ascii="Times New Roman" w:hAnsi="Times New Roman"/>
          <w:sz w:val="22"/>
        </w:rPr>
      </w:pPr>
      <w:r w:rsidRPr="00063743">
        <w:rPr>
          <w:rFonts w:ascii="Times New Roman" w:hAnsi="Times New Roman"/>
          <w:sz w:val="22"/>
        </w:rPr>
        <w:t>If party ID is a mover (unmoved or otherwise), mover of what? The ultimate target is the vote, independent of and potentially in contradiction to other forces. But Party ID, it is claimed, also moves with substantive opinion. Most contentious is the proposition that party ID warps political cognition</w:t>
      </w:r>
    </w:p>
    <w:p w:rsidR="001F6030" w:rsidRPr="00063743" w:rsidRDefault="001F6030" w:rsidP="001F6030">
      <w:pPr>
        <w:spacing w:after="120"/>
        <w:rPr>
          <w:rFonts w:ascii="Times New Roman" w:hAnsi="Times New Roman"/>
          <w:b/>
          <w:sz w:val="22"/>
        </w:rPr>
      </w:pPr>
      <w:r w:rsidRPr="00063743">
        <w:rPr>
          <w:rFonts w:ascii="Times New Roman" w:hAnsi="Times New Roman"/>
          <w:b/>
          <w:sz w:val="22"/>
        </w:rPr>
        <w:t>Conclusion</w:t>
      </w:r>
    </w:p>
    <w:p w:rsidR="002D23AB" w:rsidRPr="00063743" w:rsidRDefault="001F6030" w:rsidP="001F6030">
      <w:pPr>
        <w:spacing w:after="120"/>
        <w:rPr>
          <w:rFonts w:ascii="Times New Roman" w:hAnsi="Times New Roman"/>
          <w:sz w:val="22"/>
        </w:rPr>
      </w:pPr>
      <w:r w:rsidRPr="00063743">
        <w:rPr>
          <w:rFonts w:ascii="Times New Roman" w:hAnsi="Times New Roman"/>
          <w:sz w:val="22"/>
        </w:rPr>
        <w:t>Party ID, at least in the US, is a mover but not entirely unmoved. Strong evidence indicates an impact of partisan predispositions on opinions and values, on perceptions of performance and of candidates, on issue-position imputations for candidates, and on the vote itself.</w:t>
      </w:r>
    </w:p>
    <w:sectPr w:rsidR="002D23AB" w:rsidRPr="00063743" w:rsidSect="002D23AB">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04549"/>
    <w:multiLevelType w:val="hybridMultilevel"/>
    <w:tmpl w:val="B3DECAA6"/>
    <w:lvl w:ilvl="0" w:tplc="FB70888C">
      <w:start w:val="18"/>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D23AB"/>
    <w:rsid w:val="00063743"/>
    <w:rsid w:val="001F6030"/>
    <w:rsid w:val="002D23AB"/>
    <w:rsid w:val="00593712"/>
    <w:rsid w:val="007B7791"/>
    <w:rsid w:val="00FF718C"/>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3A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D23A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245</Words>
  <Characters>1402</Characters>
  <Application>Microsoft Macintosh Word</Application>
  <DocSecurity>0</DocSecurity>
  <Lines>11</Lines>
  <Paragraphs>2</Paragraphs>
  <ScaleCrop>false</ScaleCrop>
  <LinksUpToDate>false</LinksUpToDate>
  <CharactersWithSpaces>1721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2</cp:revision>
  <cp:lastPrinted>2012-05-12T01:09:00Z</cp:lastPrinted>
  <dcterms:created xsi:type="dcterms:W3CDTF">2012-05-11T21:15:00Z</dcterms:created>
  <dcterms:modified xsi:type="dcterms:W3CDTF">2012-05-12T01:09:00Z</dcterms:modified>
</cp:coreProperties>
</file>